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5" w:rsidRDefault="00314775" w:rsidP="00314775">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314775" w:rsidRDefault="00314775" w:rsidP="00314775">
      <w:pPr>
        <w:ind w:right="-196"/>
        <w:jc w:val="center"/>
        <w:rPr>
          <w:rFonts w:ascii="Arial" w:eastAsia="Times New Roman" w:hAnsi="Arial" w:cs="Arial"/>
          <w:b/>
          <w:sz w:val="22"/>
          <w:szCs w:val="22"/>
        </w:rPr>
      </w:pPr>
      <w:r>
        <w:rPr>
          <w:rFonts w:ascii="Arial" w:eastAsia="Times New Roman" w:hAnsi="Arial" w:cs="Arial"/>
          <w:b/>
          <w:sz w:val="22"/>
          <w:szCs w:val="22"/>
        </w:rPr>
        <w:t>PREGÃO PRESENCIAL 014/2020</w:t>
      </w:r>
    </w:p>
    <w:p w:rsidR="00314775" w:rsidRPr="006E3F29" w:rsidRDefault="008D2EE4" w:rsidP="00314775">
      <w:pPr>
        <w:ind w:right="-196"/>
        <w:jc w:val="center"/>
        <w:rPr>
          <w:rFonts w:ascii="Arial" w:eastAsia="Times New Roman" w:hAnsi="Arial" w:cs="Arial"/>
          <w:sz w:val="22"/>
          <w:szCs w:val="22"/>
        </w:rPr>
      </w:pPr>
      <w:r>
        <w:rPr>
          <w:rFonts w:ascii="Arial" w:hAnsi="Arial" w:cs="Arial"/>
          <w:sz w:val="22"/>
          <w:szCs w:val="22"/>
        </w:rPr>
        <w:t>Nº - ARP005</w:t>
      </w:r>
      <w:r w:rsidR="00314775">
        <w:rPr>
          <w:rFonts w:ascii="Arial" w:hAnsi="Arial" w:cs="Arial"/>
          <w:sz w:val="22"/>
          <w:szCs w:val="22"/>
        </w:rPr>
        <w:t>/2020/RP011/2020/PP014/2020</w:t>
      </w:r>
    </w:p>
    <w:p w:rsidR="006A2CE1" w:rsidRPr="006E3F29" w:rsidRDefault="006A2CE1" w:rsidP="006A2CE1">
      <w:pPr>
        <w:ind w:right="-196"/>
        <w:rPr>
          <w:rFonts w:ascii="Arial" w:eastAsia="Times New Roman" w:hAnsi="Arial" w:cs="Arial"/>
          <w:sz w:val="22"/>
          <w:szCs w:val="22"/>
        </w:rPr>
      </w:pPr>
    </w:p>
    <w:p w:rsidR="006A2CE1" w:rsidRDefault="006A2CE1" w:rsidP="00314775">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314775">
        <w:rPr>
          <w:rFonts w:ascii="Arial" w:eastAsia="Times New Roman" w:hAnsi="Arial" w:cs="Arial"/>
          <w:sz w:val="22"/>
          <w:szCs w:val="22"/>
        </w:rPr>
        <w:t>vinte quatro</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314775">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5560DC">
        <w:rPr>
          <w:rFonts w:ascii="Arial" w:eastAsia="Times New Roman" w:hAnsi="Arial" w:cs="Arial"/>
          <w:sz w:val="22"/>
          <w:szCs w:val="22"/>
        </w:rPr>
        <w:t>alidade Pregão Presencial nº 14</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5560DC">
        <w:rPr>
          <w:rFonts w:ascii="Arial" w:eastAsia="Times New Roman" w:hAnsi="Arial" w:cs="Arial"/>
          <w:sz w:val="22"/>
          <w:szCs w:val="22"/>
        </w:rPr>
        <w:t>MAT</w:t>
      </w:r>
      <w:r w:rsidR="00667A1C">
        <w:rPr>
          <w:rFonts w:ascii="Arial" w:eastAsia="Times New Roman" w:hAnsi="Arial" w:cs="Arial"/>
          <w:sz w:val="22"/>
          <w:szCs w:val="22"/>
        </w:rPr>
        <w:t>E</w:t>
      </w:r>
      <w:r w:rsidR="005560DC">
        <w:rPr>
          <w:rFonts w:ascii="Arial" w:eastAsia="Times New Roman" w:hAnsi="Arial" w:cs="Arial"/>
          <w:sz w:val="22"/>
          <w:szCs w:val="22"/>
        </w:rPr>
        <w:t>RIAIS DE LIMPEZA E UTENSÍLIOS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5560DC">
        <w:rPr>
          <w:rFonts w:ascii="Arial" w:eastAsia="Times New Roman" w:hAnsi="Arial" w:cs="Arial"/>
          <w:sz w:val="22"/>
          <w:szCs w:val="22"/>
        </w:rPr>
        <w:t>o Processo Administrativo nº 031</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14775" w:rsidRPr="006E3F29" w:rsidRDefault="00314775" w:rsidP="00314775">
      <w:pPr>
        <w:spacing w:line="360" w:lineRule="auto"/>
        <w:jc w:val="both"/>
        <w:rPr>
          <w:rFonts w:ascii="Arial" w:eastAsia="Times New Roman" w:hAnsi="Arial" w:cs="Arial"/>
          <w:b/>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 xml:space="preserve">AQUISIÇÃO </w:t>
      </w:r>
      <w:r w:rsidR="005560DC">
        <w:rPr>
          <w:rFonts w:ascii="Arial" w:hAnsi="Arial" w:cs="Arial"/>
          <w:b/>
          <w:i/>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314775">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6A2CE1" w:rsidRPr="006E3F29" w:rsidRDefault="006A2CE1" w:rsidP="006A2CE1">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8D2EE4" w:rsidRDefault="008D2EE4" w:rsidP="00314775">
      <w:pPr>
        <w:pStyle w:val="Corpodetexto"/>
        <w:rPr>
          <w:b/>
          <w:sz w:val="24"/>
        </w:rPr>
      </w:pPr>
      <w:r w:rsidRPr="008D2EE4">
        <w:rPr>
          <w:b/>
          <w:sz w:val="24"/>
        </w:rPr>
        <w:t>MAGALHÃES INDÚSTRIA E COMERCIO EIRELI - EPP, INSCRITO NO CNPJ Nº 17.403.267/0001-22, COM SEDE À RUA PADRE BAIÃO, Nº 24, FUNDOS, BAIRRO CENTRO, GUIDOVAL, MINAS GERAIS, CEP: 36.515-000.</w:t>
      </w:r>
    </w:p>
    <w:p w:rsidR="006A2CE1" w:rsidRDefault="006A2CE1" w:rsidP="00314775">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w:t>
      </w:r>
      <w:r w:rsidR="00314775">
        <w:t xml:space="preserve">não </w:t>
      </w:r>
      <w:r w:rsidRPr="006E3F29">
        <w:t>será incluído nesta ata, o registro dos licitantes que aceitarem cotar os bens ou serviços com preços iguais ao do licitante vencedor na sequência da classificação do certame</w:t>
      </w:r>
      <w:r w:rsidR="00314775">
        <w:t>.</w:t>
      </w:r>
    </w:p>
    <w:p w:rsidR="00314775" w:rsidRDefault="00314775" w:rsidP="00314775">
      <w:pPr>
        <w:pStyle w:val="Corpodetexto"/>
        <w:rPr>
          <w:rFonts w:eastAsia="Times New Roman"/>
        </w:rPr>
      </w:pPr>
    </w:p>
    <w:p w:rsidR="006A2CE1" w:rsidRDefault="006A2CE1" w:rsidP="006A2CE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A2CE1" w:rsidRDefault="006A2CE1" w:rsidP="006A2CE1">
      <w:pPr>
        <w:ind w:right="-196"/>
        <w:jc w:val="both"/>
        <w:rPr>
          <w:rFonts w:ascii="Arial" w:hAnsi="Arial" w:cs="Arial"/>
          <w:sz w:val="22"/>
          <w:szCs w:val="22"/>
        </w:rPr>
      </w:pPr>
    </w:p>
    <w:p w:rsidR="00664E6E" w:rsidRDefault="006A2CE1" w:rsidP="00664E6E">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314775">
        <w:rPr>
          <w:rFonts w:ascii="Arial" w:hAnsi="Arial" w:cs="Arial"/>
          <w:sz w:val="22"/>
          <w:szCs w:val="22"/>
        </w:rPr>
        <w:t>e em resumo abaixo:</w:t>
      </w:r>
    </w:p>
    <w:p w:rsidR="00664E6E" w:rsidRDefault="008D2EE4" w:rsidP="00664E6E">
      <w:pPr>
        <w:ind w:right="-196"/>
        <w:jc w:val="both"/>
        <w:rPr>
          <w:rFonts w:ascii="Arial" w:hAnsi="Arial" w:cs="Arial"/>
          <w:b/>
          <w:sz w:val="24"/>
        </w:rPr>
      </w:pPr>
      <w:r w:rsidRPr="008D2EE4">
        <w:rPr>
          <w:rFonts w:ascii="Arial" w:hAnsi="Arial" w:cs="Arial"/>
          <w:b/>
          <w:sz w:val="24"/>
        </w:rPr>
        <w:t xml:space="preserve">Vencedora para os itens 07, 15, 29, 32, 34, 36, 37, 43, 45, 46, 47, 52, 53, 65, 66, 68, 69, 73, 75, 76, 79, 80, 81, 82, 84 com valor total de R$ 14.652,30 (catorze mil, seiscentos e cinquenta e dois reais e trinta centavos) a empresa MAGALHÃES INDÚSTRIA E COMERCIO EIRELI - EPP, inscrito no CNPJ nº 17.403.267/0001-22, com sede à Rua Padre Baião, nº 24, Fundos, Bairro Centro, </w:t>
      </w:r>
      <w:proofErr w:type="spellStart"/>
      <w:r w:rsidRPr="008D2EE4">
        <w:rPr>
          <w:rFonts w:ascii="Arial" w:hAnsi="Arial" w:cs="Arial"/>
          <w:b/>
          <w:sz w:val="24"/>
        </w:rPr>
        <w:t>Guidoval</w:t>
      </w:r>
      <w:proofErr w:type="spellEnd"/>
      <w:r w:rsidRPr="008D2EE4">
        <w:rPr>
          <w:rFonts w:ascii="Arial" w:hAnsi="Arial" w:cs="Arial"/>
          <w:b/>
          <w:sz w:val="24"/>
        </w:rPr>
        <w:t>, Minas Gerais, CEP: 36.515-000.</w:t>
      </w:r>
    </w:p>
    <w:p w:rsidR="006A2CE1" w:rsidRPr="009B1751" w:rsidRDefault="006A2CE1" w:rsidP="0031477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314775">
        <w:rPr>
          <w:rFonts w:ascii="Arial" w:hAnsi="Arial" w:cs="Arial"/>
          <w:sz w:val="22"/>
          <w:szCs w:val="22"/>
        </w:rPr>
        <w:t xml:space="preserve"> n</w:t>
      </w:r>
      <w:r w:rsidRPr="009B1751">
        <w:rPr>
          <w:rFonts w:ascii="Arial" w:hAnsi="Arial" w:cs="Arial"/>
          <w:sz w:val="22"/>
          <w:szCs w:val="22"/>
        </w:rPr>
        <w:t>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A2CE1" w:rsidRPr="006E3F29" w:rsidRDefault="006A2CE1" w:rsidP="006A2CE1">
      <w:pPr>
        <w:ind w:right="-196"/>
        <w:jc w:val="both"/>
        <w:rPr>
          <w:rFonts w:ascii="Arial" w:eastAsia="Times New Roman" w:hAnsi="Arial" w:cs="Arial"/>
          <w:b/>
          <w:sz w:val="22"/>
          <w:szCs w:val="22"/>
        </w:rPr>
      </w:pPr>
    </w:p>
    <w:p w:rsidR="006A2CE1"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6A2CE1" w:rsidRPr="006E3F29" w:rsidRDefault="006A2CE1" w:rsidP="006A2CE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 xml:space="preserve">c) Observar para que, durante a vigência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Acompanhar e fiscalizar o cumprimento das condições ajustadas no edital da licitação e </w:t>
      </w:r>
      <w:proofErr w:type="gramStart"/>
      <w:r w:rsidRPr="006E3F29">
        <w:rPr>
          <w:rFonts w:ascii="Arial" w:eastAsia="Times New Roman" w:hAnsi="Arial" w:cs="Arial"/>
          <w:sz w:val="22"/>
          <w:szCs w:val="22"/>
        </w:rPr>
        <w:t>na presente</w:t>
      </w:r>
      <w:proofErr w:type="gramEnd"/>
      <w:r w:rsidRPr="006E3F29">
        <w:rPr>
          <w:rFonts w:ascii="Arial" w:eastAsia="Times New Roman" w:hAnsi="Arial" w:cs="Arial"/>
          <w:sz w:val="22"/>
          <w:szCs w:val="22"/>
        </w:rPr>
        <w:t xml:space="preserv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14775">
        <w:rPr>
          <w:rFonts w:ascii="Arial" w:eastAsia="Times New Roman" w:hAnsi="Arial" w:cs="Arial"/>
          <w:sz w:val="22"/>
          <w:szCs w:val="22"/>
        </w:rPr>
        <w:t>23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A2CE1" w:rsidRDefault="006A2CE1" w:rsidP="006A2CE1">
      <w:pPr>
        <w:ind w:right="-196"/>
        <w:jc w:val="both"/>
        <w:rPr>
          <w:rFonts w:ascii="Arial" w:eastAsia="Times New Roman" w:hAnsi="Arial" w:cs="Arial"/>
          <w:sz w:val="22"/>
          <w:szCs w:val="22"/>
        </w:rPr>
      </w:pPr>
      <w:bookmarkStart w:id="2" w:name="6"/>
      <w:bookmarkEnd w:id="2"/>
    </w:p>
    <w:p w:rsidR="006A2CE1" w:rsidRPr="001A6BDA" w:rsidRDefault="006A2CE1" w:rsidP="006A2CE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A2CE1" w:rsidRPr="001A6BDA"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A2CE1" w:rsidRPr="001A6BDA" w:rsidRDefault="006A2CE1" w:rsidP="006A2CE1">
      <w:pPr>
        <w:ind w:right="-196"/>
        <w:jc w:val="both"/>
        <w:rPr>
          <w:rFonts w:ascii="Arial" w:eastAsia="Times New Roman" w:hAnsi="Arial" w:cs="Arial"/>
          <w:b/>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A2CE1"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ARP;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2) Ensejar o retardamento da execução do seu objeto;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3" w:name="7"/>
      <w:bookmarkEnd w:id="3"/>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A2CE1" w:rsidRPr="006E3F29" w:rsidRDefault="006A2CE1" w:rsidP="006A2CE1">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A2CE1" w:rsidRPr="006E3F29" w:rsidRDefault="005560DC" w:rsidP="006A2CE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31</w:t>
      </w:r>
      <w:r w:rsidR="006A2CE1">
        <w:rPr>
          <w:rFonts w:ascii="Arial" w:eastAsia="Times New Roman" w:hAnsi="Arial" w:cs="Arial"/>
          <w:sz w:val="22"/>
          <w:szCs w:val="22"/>
        </w:rPr>
        <w:t>/2020</w:t>
      </w:r>
      <w:r w:rsidR="006A2CE1"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5560DC">
        <w:rPr>
          <w:rFonts w:ascii="Arial" w:eastAsia="Times New Roman" w:hAnsi="Arial" w:cs="Arial"/>
          <w:sz w:val="22"/>
          <w:szCs w:val="22"/>
        </w:rPr>
        <w:t>al nº 14</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Para dirimir as questões decorrentes </w:t>
      </w:r>
      <w:proofErr w:type="gramStart"/>
      <w:r w:rsidRPr="006E3F29">
        <w:rPr>
          <w:rFonts w:ascii="Arial" w:eastAsia="Times New Roman" w:hAnsi="Arial" w:cs="Arial"/>
          <w:sz w:val="22"/>
          <w:szCs w:val="22"/>
        </w:rPr>
        <w:t>da presente</w:t>
      </w:r>
      <w:proofErr w:type="gramEnd"/>
      <w:r w:rsidRPr="006E3F29">
        <w:rPr>
          <w:rFonts w:ascii="Arial" w:eastAsia="Times New Roman" w:hAnsi="Arial" w:cs="Arial"/>
          <w:sz w:val="22"/>
          <w:szCs w:val="22"/>
        </w:rPr>
        <w:t xml:space="preserve"> Ata de Registro de Preços, fica eleito o foro da Comarca de Barbacena - Minas Gerais, com renúncia expressa a qualquer outro, por mais privilegiado que seja.</w:t>
      </w:r>
    </w:p>
    <w:p w:rsidR="00314775" w:rsidRDefault="00314775" w:rsidP="003147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proofErr w:type="spellStart"/>
      <w:r>
        <w:rPr>
          <w:rFonts w:ascii="Arial" w:eastAsia="Times New Roman" w:hAnsi="Arial" w:cs="Arial"/>
          <w:sz w:val="22"/>
          <w:szCs w:val="22"/>
        </w:rPr>
        <w:t>Luciléia</w:t>
      </w:r>
      <w:proofErr w:type="spellEnd"/>
      <w:r>
        <w:rPr>
          <w:rFonts w:ascii="Arial" w:eastAsia="Times New Roman" w:hAnsi="Arial" w:cs="Arial"/>
          <w:sz w:val="22"/>
          <w:szCs w:val="22"/>
        </w:rPr>
        <w:t xml:space="preserve">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24 de abril de 2020.</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314775" w:rsidRPr="004B37F4" w:rsidRDefault="00314775" w:rsidP="00314775">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314775" w:rsidRPr="004B37F4" w:rsidRDefault="00314775" w:rsidP="00314775">
      <w:pPr>
        <w:ind w:right="-196"/>
        <w:jc w:val="center"/>
        <w:rPr>
          <w:rFonts w:ascii="Arial" w:eastAsia="Times New Roman" w:hAnsi="Arial" w:cs="Arial"/>
          <w:sz w:val="22"/>
          <w:szCs w:val="22"/>
        </w:rPr>
      </w:pPr>
    </w:p>
    <w:p w:rsidR="00314775"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8D2EE4" w:rsidRDefault="008D2EE4" w:rsidP="00314775">
      <w:pPr>
        <w:ind w:right="-196"/>
        <w:jc w:val="center"/>
        <w:rPr>
          <w:rFonts w:ascii="Arial" w:hAnsi="Arial" w:cs="Arial"/>
          <w:sz w:val="24"/>
        </w:rPr>
      </w:pPr>
      <w:r w:rsidRPr="007950F6">
        <w:rPr>
          <w:rFonts w:ascii="Arial" w:hAnsi="Arial" w:cs="Arial"/>
          <w:b/>
          <w:sz w:val="24"/>
        </w:rPr>
        <w:t>MAGALHÃES INDÚSTRIA E COMERCIO EIRELI - EPP</w:t>
      </w:r>
      <w:r w:rsidRPr="00D408D6">
        <w:rPr>
          <w:rFonts w:ascii="Arial" w:hAnsi="Arial" w:cs="Arial"/>
          <w:sz w:val="24"/>
        </w:rPr>
        <w:t xml:space="preserve"> </w:t>
      </w:r>
    </w:p>
    <w:p w:rsidR="00314775" w:rsidRDefault="00314775" w:rsidP="00314775">
      <w:pPr>
        <w:ind w:right="-196"/>
        <w:jc w:val="center"/>
        <w:rPr>
          <w:rFonts w:ascii="Arial" w:hAnsi="Arial" w:cs="Arial"/>
          <w:sz w:val="24"/>
        </w:rPr>
      </w:pPr>
      <w:r w:rsidRPr="00D408D6">
        <w:rPr>
          <w:rFonts w:ascii="Arial" w:hAnsi="Arial" w:cs="Arial"/>
          <w:sz w:val="24"/>
        </w:rPr>
        <w:t xml:space="preserve">CNPJ nº </w:t>
      </w:r>
      <w:r w:rsidR="008D2EE4" w:rsidRPr="007950F6">
        <w:rPr>
          <w:rFonts w:ascii="Arial" w:hAnsi="Arial" w:cs="Arial"/>
          <w:sz w:val="24"/>
        </w:rPr>
        <w:t>17.403.267/0001-22</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314775"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p>
    <w:p w:rsidR="00314775" w:rsidRDefault="00314775" w:rsidP="00314775">
      <w:pPr>
        <w:ind w:right="-196"/>
        <w:jc w:val="center"/>
        <w:rPr>
          <w:rFonts w:ascii="Arial" w:hAnsi="Arial" w:cs="Arial"/>
          <w:sz w:val="22"/>
          <w:szCs w:val="22"/>
        </w:rPr>
      </w:pPr>
    </w:p>
    <w:p w:rsidR="00664E6E" w:rsidRPr="004B37F4" w:rsidRDefault="00664E6E"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r w:rsidRPr="004B37F4">
        <w:rPr>
          <w:rFonts w:ascii="Arial" w:hAnsi="Arial" w:cs="Arial"/>
          <w:sz w:val="22"/>
          <w:szCs w:val="22"/>
        </w:rPr>
        <w:t>______________________________________________</w:t>
      </w:r>
    </w:p>
    <w:p w:rsidR="00314775" w:rsidRPr="004B37F4" w:rsidRDefault="00314775" w:rsidP="00314775">
      <w:pPr>
        <w:ind w:right="-196"/>
        <w:jc w:val="center"/>
        <w:rPr>
          <w:rFonts w:ascii="Arial" w:hAnsi="Arial" w:cs="Arial"/>
          <w:b/>
          <w:sz w:val="22"/>
          <w:szCs w:val="22"/>
        </w:rPr>
      </w:pPr>
      <w:r>
        <w:rPr>
          <w:rFonts w:ascii="Arial" w:hAnsi="Arial" w:cs="Arial"/>
          <w:b/>
          <w:sz w:val="22"/>
          <w:szCs w:val="22"/>
        </w:rPr>
        <w:t>LUCILEIA NUNES MARTINS</w:t>
      </w:r>
    </w:p>
    <w:p w:rsidR="00314775" w:rsidRDefault="00314775" w:rsidP="00314775">
      <w:pPr>
        <w:ind w:right="-196"/>
        <w:jc w:val="center"/>
        <w:rPr>
          <w:sz w:val="22"/>
          <w:szCs w:val="22"/>
        </w:rPr>
      </w:pPr>
      <w:r>
        <w:rPr>
          <w:rFonts w:ascii="Arial" w:hAnsi="Arial" w:cs="Arial"/>
          <w:sz w:val="22"/>
          <w:szCs w:val="22"/>
        </w:rPr>
        <w:t>Diretora do Setor de Compras e Licitações</w:t>
      </w: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sectPr w:rsidR="006A2CE1" w:rsidRPr="006E3F29" w:rsidSect="006A2CE1">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3E" w:rsidRDefault="00B7663E" w:rsidP="006A2CE1">
      <w:r>
        <w:separator/>
      </w:r>
    </w:p>
  </w:endnote>
  <w:endnote w:type="continuationSeparator" w:id="0">
    <w:p w:rsidR="00B7663E" w:rsidRDefault="00B7663E" w:rsidP="006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0DC" w:rsidRDefault="005560DC" w:rsidP="006A2CE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12E3">
      <w:rPr>
        <w:rStyle w:val="Nmerodepgina"/>
        <w:noProof/>
      </w:rPr>
      <w:t>1</w:t>
    </w:r>
    <w:r>
      <w:rPr>
        <w:rStyle w:val="Nmerodepgina"/>
      </w:rPr>
      <w:fldChar w:fldCharType="end"/>
    </w:r>
  </w:p>
  <w:p w:rsidR="005560DC" w:rsidRDefault="005560DC" w:rsidP="006A2CE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3E" w:rsidRDefault="00B7663E" w:rsidP="006A2CE1">
      <w:r>
        <w:separator/>
      </w:r>
    </w:p>
  </w:footnote>
  <w:footnote w:type="continuationSeparator" w:id="0">
    <w:p w:rsidR="00B7663E" w:rsidRDefault="00B7663E" w:rsidP="006A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pPr>
      <w:pStyle w:val="Cabealho"/>
    </w:pPr>
    <w:r>
      <w:fldChar w:fldCharType="begin"/>
    </w:r>
    <w:r>
      <w:instrText xml:space="preserve"> TIME \@ "h:mm am/pm" </w:instrText>
    </w:r>
    <w:r>
      <w:fldChar w:fldCharType="separate"/>
    </w:r>
    <w:r w:rsidR="00B512E3">
      <w:rPr>
        <w:noProof/>
      </w:rPr>
      <w:t xml:space="preserve">1:33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560DC" w:rsidRPr="00AA0421" w:rsidTr="006A2CE1">
      <w:tc>
        <w:tcPr>
          <w:tcW w:w="10276" w:type="dxa"/>
          <w:gridSpan w:val="2"/>
          <w:shd w:val="clear" w:color="auto" w:fill="FFFFFF"/>
        </w:tcPr>
        <w:p w:rsidR="005560DC" w:rsidRPr="00AA0421" w:rsidRDefault="005560DC" w:rsidP="006A2CE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7DEF9AE" wp14:editId="001D4C06">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EFA446A" wp14:editId="621F863A">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560DC" w:rsidRPr="00AA0421" w:rsidTr="006A2CE1">
      <w:tc>
        <w:tcPr>
          <w:tcW w:w="10276" w:type="dxa"/>
          <w:gridSpan w:val="2"/>
          <w:shd w:val="clear" w:color="auto" w:fill="FFFFFF"/>
        </w:tcPr>
        <w:p w:rsidR="005560DC" w:rsidRPr="00AA0421" w:rsidRDefault="00314775" w:rsidP="006A2CE1">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 xml:space="preserve">ATA DE REGISTRO DE PREÇOS </w:t>
          </w:r>
        </w:p>
      </w:tc>
    </w:tr>
    <w:tr w:rsidR="005560DC" w:rsidRPr="00AA0421" w:rsidTr="006A2CE1">
      <w:tc>
        <w:tcPr>
          <w:tcW w:w="10276" w:type="dxa"/>
          <w:gridSpan w:val="2"/>
          <w:shd w:val="clear" w:color="auto" w:fill="FFFFFF"/>
        </w:tcPr>
        <w:p w:rsidR="005560DC" w:rsidRPr="00AA0421" w:rsidRDefault="005560DC" w:rsidP="006A2CE1">
          <w:pPr>
            <w:pStyle w:val="Ttulo1"/>
            <w:spacing w:before="120" w:after="120"/>
            <w:rPr>
              <w:rFonts w:eastAsia="Times New Roman"/>
              <w:sz w:val="16"/>
              <w:szCs w:val="16"/>
            </w:rPr>
          </w:pPr>
          <w:r>
            <w:rPr>
              <w:rFonts w:eastAsia="Times New Roman"/>
              <w:sz w:val="16"/>
              <w:szCs w:val="16"/>
            </w:rPr>
            <w:t>PROCESSO DE LICITAÇÃO – 031/2020</w:t>
          </w:r>
        </w:p>
      </w:tc>
    </w:tr>
    <w:tr w:rsidR="005560DC" w:rsidRPr="00AA0421" w:rsidTr="006A2CE1">
      <w:trPr>
        <w:cantSplit/>
        <w:trHeight w:val="343"/>
      </w:trPr>
      <w:tc>
        <w:tcPr>
          <w:tcW w:w="4888" w:type="dxa"/>
          <w:shd w:val="clear" w:color="auto" w:fill="FFFFFF"/>
        </w:tcPr>
        <w:p w:rsidR="005560DC" w:rsidRPr="00AA0421" w:rsidRDefault="005560DC" w:rsidP="006A2CE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560DC" w:rsidRPr="00AA0421" w:rsidRDefault="005560DC" w:rsidP="006A2CE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014/2020</w:t>
          </w:r>
        </w:p>
      </w:tc>
    </w:tr>
    <w:tr w:rsidR="005560DC" w:rsidRPr="00AA0421" w:rsidTr="006A2CE1">
      <w:trPr>
        <w:cantSplit/>
        <w:trHeight w:val="199"/>
      </w:trPr>
      <w:tc>
        <w:tcPr>
          <w:tcW w:w="4888" w:type="dxa"/>
          <w:shd w:val="clear" w:color="auto" w:fill="FFFFFF"/>
        </w:tcPr>
        <w:p w:rsidR="005560DC" w:rsidRPr="00AA0421" w:rsidRDefault="005560DC" w:rsidP="006A2CE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560DC" w:rsidRPr="00AA0421" w:rsidRDefault="005560DC" w:rsidP="006A2CE1">
          <w:pPr>
            <w:spacing w:after="120"/>
            <w:jc w:val="center"/>
            <w:rPr>
              <w:rFonts w:ascii="Arial" w:hAnsi="Arial" w:cs="Arial"/>
              <w:b/>
              <w:sz w:val="16"/>
              <w:szCs w:val="16"/>
            </w:rPr>
          </w:pPr>
          <w:r>
            <w:rPr>
              <w:rFonts w:ascii="Arial" w:hAnsi="Arial" w:cs="Arial"/>
              <w:b/>
              <w:sz w:val="16"/>
              <w:szCs w:val="16"/>
            </w:rPr>
            <w:t>REGISTRO DE PREÇOS 011/2020</w:t>
          </w:r>
        </w:p>
      </w:tc>
    </w:tr>
  </w:tbl>
  <w:p w:rsidR="005560DC" w:rsidRPr="006A2CE1" w:rsidRDefault="005560DC" w:rsidP="006A2C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7C37B54"/>
    <w:multiLevelType w:val="hybridMultilevel"/>
    <w:tmpl w:val="19E81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E1"/>
    <w:rsid w:val="0000538C"/>
    <w:rsid w:val="0003631D"/>
    <w:rsid w:val="001147C6"/>
    <w:rsid w:val="00134CBA"/>
    <w:rsid w:val="002B1BC8"/>
    <w:rsid w:val="00314775"/>
    <w:rsid w:val="003D3812"/>
    <w:rsid w:val="004D01DD"/>
    <w:rsid w:val="004D1692"/>
    <w:rsid w:val="00507B6C"/>
    <w:rsid w:val="005525EF"/>
    <w:rsid w:val="005560DC"/>
    <w:rsid w:val="00582FD3"/>
    <w:rsid w:val="00664E6E"/>
    <w:rsid w:val="006655C3"/>
    <w:rsid w:val="00667A1C"/>
    <w:rsid w:val="00691F16"/>
    <w:rsid w:val="006A2CE1"/>
    <w:rsid w:val="00792605"/>
    <w:rsid w:val="00794786"/>
    <w:rsid w:val="007B2B98"/>
    <w:rsid w:val="0084682A"/>
    <w:rsid w:val="008B3975"/>
    <w:rsid w:val="008C5AC2"/>
    <w:rsid w:val="008D2EE4"/>
    <w:rsid w:val="009B1235"/>
    <w:rsid w:val="00A83DE9"/>
    <w:rsid w:val="00AD505D"/>
    <w:rsid w:val="00B04479"/>
    <w:rsid w:val="00B512E3"/>
    <w:rsid w:val="00B51BEA"/>
    <w:rsid w:val="00B7663E"/>
    <w:rsid w:val="00BD24D2"/>
    <w:rsid w:val="00C861D0"/>
    <w:rsid w:val="00D46631"/>
    <w:rsid w:val="00E136E1"/>
    <w:rsid w:val="00E26B5B"/>
    <w:rsid w:val="00EF65BC"/>
    <w:rsid w:val="00FC1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2128</Words>
  <Characters>11496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36</cp:revision>
  <cp:lastPrinted>2020-08-06T16:33:00Z</cp:lastPrinted>
  <dcterms:created xsi:type="dcterms:W3CDTF">2020-04-08T10:45:00Z</dcterms:created>
  <dcterms:modified xsi:type="dcterms:W3CDTF">2020-08-06T16:33:00Z</dcterms:modified>
</cp:coreProperties>
</file>